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Times New Roman" w:eastAsia="黑体" w:cs="Times New Roman"/>
          <w:sz w:val="44"/>
          <w:szCs w:val="44"/>
        </w:rPr>
      </w:pPr>
      <w:r>
        <w:rPr>
          <w:rFonts w:hint="eastAsia" w:ascii="黑体" w:hAnsi="Times New Roman" w:eastAsia="黑体" w:cs="Times New Roman"/>
          <w:sz w:val="44"/>
          <w:szCs w:val="44"/>
        </w:rPr>
        <w:t>征地补偿安置方案</w:t>
      </w:r>
    </w:p>
    <w:p>
      <w:pPr>
        <w:spacing w:line="440" w:lineRule="exact"/>
        <w:jc w:val="center"/>
        <w:rPr>
          <w:rFonts w:ascii="黑体" w:hAnsi="Times New Roman" w:eastAsia="黑体" w:cs="Times New Roman"/>
          <w:sz w:val="28"/>
          <w:szCs w:val="28"/>
        </w:rPr>
      </w:pP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为实施花都区花东镇建设规划，完善城市功能，改善城市环境，促进经济、文化发展。受中交广连高速公路投资发展有限公司委托，拟征收广州市花都区花东镇四联经济联合社、四联村第三经济合作社、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四联村第六经济合作社集体土地</w:t>
      </w:r>
      <w:r>
        <w:rPr>
          <w:rFonts w:ascii="Times New Roman" w:hAnsi="Times New Roman" w:eastAsia="仿宋_GB2312" w:cs="Times New Roman"/>
          <w:sz w:val="32"/>
          <w:szCs w:val="32"/>
        </w:rPr>
        <w:t>5.0229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为切实做好征地补偿安置工作，确保征地工作的顺利进行，根据《中华人民共和国土地管理法》、《广东省实施&lt;中华人民共和国土地管理法&gt;办法》等规定，结合我区实际情况拟定了征地补偿安置方案，并予以公告，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体征地补偿安置情况如下：</w:t>
      </w:r>
    </w:p>
    <w:p>
      <w:pPr>
        <w:tabs>
          <w:tab w:val="left" w:pos="1360"/>
        </w:tabs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一、征收集体土地情况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征收集体土地总面积</w:t>
      </w:r>
      <w:r>
        <w:rPr>
          <w:rFonts w:ascii="Times New Roman" w:hAnsi="Times New Roman" w:eastAsia="仿宋_GB2312" w:cs="Times New Roman"/>
          <w:sz w:val="32"/>
          <w:szCs w:val="32"/>
        </w:rPr>
        <w:t>5.0229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公顷，地类为农用地</w:t>
      </w:r>
      <w:r>
        <w:rPr>
          <w:rFonts w:ascii="Times New Roman" w:hAnsi="Times New Roman" w:eastAsia="仿宋_GB2312" w:cs="Times New Roman"/>
          <w:sz w:val="32"/>
          <w:szCs w:val="32"/>
        </w:rPr>
        <w:t>4.4998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园地</w:t>
      </w:r>
      <w:r>
        <w:rPr>
          <w:rFonts w:ascii="Times New Roman" w:hAnsi="Times New Roman" w:eastAsia="仿宋_GB2312" w:cs="Times New Roman"/>
          <w:sz w:val="32"/>
          <w:szCs w:val="32"/>
        </w:rPr>
        <w:t>2.2714公顷、林地1.2711公顷、其他农用地0.1550公顷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、养殖水面</w:t>
      </w:r>
      <w:r>
        <w:rPr>
          <w:rFonts w:ascii="Times New Roman" w:hAnsi="Times New Roman" w:eastAsia="仿宋_GB2312" w:cs="Times New Roman"/>
          <w:sz w:val="32"/>
          <w:szCs w:val="32"/>
        </w:rPr>
        <w:t>0.8023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</w:t>
      </w:r>
      <w:r>
        <w:rPr>
          <w:rFonts w:ascii="Times New Roman" w:hAnsi="Times New Roman" w:eastAsia="仿宋_GB2312" w:cs="Times New Roman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，建设用地</w:t>
      </w:r>
      <w:r>
        <w:rPr>
          <w:rFonts w:ascii="Times New Roman" w:hAnsi="Times New Roman" w:eastAsia="仿宋_GB2312" w:cs="Times New Roman"/>
          <w:sz w:val="32"/>
          <w:szCs w:val="32"/>
        </w:rPr>
        <w:t>0.4487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公顷、未利用地</w:t>
      </w:r>
      <w:r>
        <w:rPr>
          <w:rFonts w:ascii="Times New Roman" w:hAnsi="Times New Roman" w:eastAsia="仿宋_GB2312" w:cs="Times New Roman"/>
          <w:sz w:val="32"/>
          <w:szCs w:val="32"/>
        </w:rPr>
        <w:t>0.0743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公顷。</w:t>
      </w:r>
    </w:p>
    <w:p>
      <w:pPr>
        <w:spacing w:line="52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征收土地的补偿标准、安置途径如下：</w:t>
      </w:r>
    </w:p>
    <w:tbl>
      <w:tblPr>
        <w:tblStyle w:val="2"/>
        <w:tblW w:w="914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709"/>
        <w:gridCol w:w="1276"/>
        <w:gridCol w:w="1275"/>
        <w:gridCol w:w="1560"/>
        <w:gridCol w:w="1417"/>
        <w:gridCol w:w="709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被征地村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分类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地类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征收面积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（公顷）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土地补偿标准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（万元/公顷）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补偿金额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支付对象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支 付 方 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广州市花都区花东镇四联经济联合社、四联村第三、第六经济合作社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被征地村社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2.2714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182.0754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101.8914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广州市花都区花东镇四联经济联合社、四联村第三、第六经济合作社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被征地村社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货币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12.4248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80.16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64.3124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建设用地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0.4487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120.24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53.9517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未利用地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0.0743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120.24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8.9338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安置补偿费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耕地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园地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2.2714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91.0377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林地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1.2711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50.9457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牧草地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　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其他农用地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0.155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6.2124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养殖水面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0.8023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40.08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32.1562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其他费用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5.0228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r2bl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 xml:space="preserve">375.5045 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979.4460万元</w:t>
            </w:r>
          </w:p>
        </w:tc>
      </w:tr>
    </w:tbl>
    <w:p>
      <w:pPr>
        <w:spacing w:line="52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</w:p>
    <w:p>
      <w:pPr>
        <w:spacing w:line="44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二、安置措施情况</w:t>
      </w:r>
    </w:p>
    <w:p>
      <w:pPr>
        <w:spacing w:line="4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为妥善安置被征地农民，切实解决被征地农民的生产生活出路，在保证货币安置落实的同时，给上述被征地农民落实培训就业等社会保障措施，以确保被征地农民的原有生活水平不降低，长远生计有保障。</w:t>
      </w:r>
    </w:p>
    <w:p>
      <w:pPr>
        <w:spacing w:line="440" w:lineRule="exact"/>
        <w:ind w:left="64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三、留用地情况</w:t>
      </w:r>
    </w:p>
    <w:p>
      <w:pPr>
        <w:spacing w:line="44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留用地按实际征地面积的10%安排，面积</w:t>
      </w:r>
      <w:r>
        <w:rPr>
          <w:rFonts w:ascii="Times New Roman" w:hAnsi="Times New Roman" w:eastAsia="仿宋_GB2312" w:cs="Times New Roman"/>
          <w:sz w:val="32"/>
          <w:szCs w:val="32"/>
        </w:rPr>
        <w:t>0.5023</w:t>
      </w:r>
      <w:r>
        <w:rPr>
          <w:rFonts w:hint="eastAsia" w:ascii="Times New Roman" w:hAnsi="仿宋_GB2312" w:eastAsia="仿宋_GB2312" w:cs="Times New Roman"/>
          <w:sz w:val="32"/>
          <w:szCs w:val="32"/>
        </w:rPr>
        <w:t>公顷，</w:t>
      </w:r>
      <w:r>
        <w:rPr>
          <w:rFonts w:hint="eastAsia" w:hAnsi="仿宋_GB2312" w:eastAsia="仿宋_GB2312"/>
          <w:sz w:val="32"/>
          <w:szCs w:val="32"/>
        </w:rPr>
        <w:t>拟</w:t>
      </w:r>
      <w:r>
        <w:rPr>
          <w:rFonts w:hint="eastAsia" w:eastAsia="仿宋_GB2312"/>
          <w:sz w:val="32"/>
          <w:szCs w:val="32"/>
        </w:rPr>
        <w:t>批准用地后六个月内依法办理留用地的用地报批手续。</w:t>
      </w:r>
    </w:p>
    <w:p>
      <w:pPr>
        <w:spacing w:line="440" w:lineRule="exact"/>
        <w:ind w:firstLine="640" w:firstLineChars="200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hint="eastAsia" w:hAnsi="仿宋_GB2312" w:eastAsia="仿宋_GB2312"/>
          <w:sz w:val="32"/>
          <w:szCs w:val="32"/>
        </w:rPr>
        <w:t>四、补偿价格情况说明</w:t>
      </w:r>
    </w:p>
    <w:p>
      <w:pPr>
        <w:spacing w:line="440" w:lineRule="exact"/>
        <w:ind w:firstLine="640" w:firstLineChars="200"/>
        <w:rPr>
          <w:rFonts w:ascii="宋体" w:hAnsi="宋体" w:eastAsia="宋体" w:cs="Times New Roman"/>
          <w:sz w:val="24"/>
        </w:rPr>
      </w:pPr>
      <w:r>
        <w:rPr>
          <w:rFonts w:hint="eastAsia" w:hAnsi="仿宋_GB2312" w:eastAsia="仿宋_GB2312"/>
          <w:sz w:val="32"/>
          <w:szCs w:val="32"/>
        </w:rPr>
        <w:t>待征地区片综合地价完成编制并公布后，涉及存在差价的另行补足。</w:t>
      </w:r>
    </w:p>
    <w:p>
      <w:pPr>
        <w:spacing w:line="520" w:lineRule="exact"/>
        <w:ind w:firstLine="2880" w:firstLineChars="900"/>
        <w:rPr>
          <w:rFonts w:hint="eastAsia" w:ascii="Times New Roman" w:hAnsi="仿宋_GB2312" w:eastAsia="仿宋_GB2312" w:cs="Times New Roman"/>
          <w:sz w:val="32"/>
          <w:szCs w:val="32"/>
        </w:rPr>
      </w:pPr>
      <w:r>
        <w:rPr>
          <w:rFonts w:hint="eastAsia" w:ascii="Times New Roman" w:hAnsi="仿宋_GB2312" w:eastAsia="仿宋_GB2312" w:cs="Times New Roman"/>
          <w:sz w:val="32"/>
          <w:szCs w:val="32"/>
        </w:rPr>
        <w:t>广州市规划和自然资源局花都区分局</w:t>
      </w:r>
    </w:p>
    <w:p>
      <w:pPr>
        <w:spacing w:line="520" w:lineRule="exact"/>
        <w:ind w:firstLine="2880" w:firstLineChars="900"/>
      </w:pPr>
      <w:r>
        <w:rPr>
          <w:rFonts w:hint="eastAsia" w:ascii="Times New Roman" w:hAnsi="仿宋_GB2312" w:eastAsia="仿宋_GB2312" w:cs="Times New Roman"/>
          <w:sz w:val="32"/>
          <w:szCs w:val="32"/>
        </w:rPr>
        <w:t xml:space="preserve">         2020年9月7日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27093"/>
    <w:rsid w:val="210F0D65"/>
    <w:rsid w:val="74F5446C"/>
    <w:rsid w:val="78A0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陈小子</cp:lastModifiedBy>
  <dcterms:modified xsi:type="dcterms:W3CDTF">2022-05-23T06:08:50Z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