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6ABC4">
      <w:pPr>
        <w:pStyle w:val="2"/>
        <w:spacing w:line="540" w:lineRule="exact"/>
        <w:rPr>
          <w:rFonts w:hint="eastAsia" w:ascii="宋体" w:hAnsi="宋体" w:eastAsia="宋体" w:cs="宋体"/>
          <w:sz w:val="44"/>
          <w:szCs w:val="44"/>
          <w:u w:val="none"/>
        </w:rPr>
      </w:pPr>
      <w:bookmarkStart w:id="0" w:name="_GoBack"/>
    </w:p>
    <w:p w14:paraId="23AAE9BD">
      <w:pPr>
        <w:suppressAutoHyphens/>
        <w:jc w:val="center"/>
        <w:rPr>
          <w:rFonts w:hint="eastAsia" w:ascii="宋体" w:hAnsi="宋体" w:eastAsia="宋体" w:cs="宋体"/>
          <w:spacing w:val="120"/>
          <w:kern w:val="1"/>
          <w:sz w:val="44"/>
          <w:szCs w:val="44"/>
          <w:u w:val="none"/>
        </w:rPr>
      </w:pPr>
    </w:p>
    <w:p w14:paraId="45F1E5BE">
      <w:pPr>
        <w:suppressAutoHyphens/>
        <w:jc w:val="center"/>
        <w:rPr>
          <w:rFonts w:hint="eastAsia" w:ascii="宋体" w:hAnsi="宋体" w:eastAsia="宋体" w:cs="宋体"/>
          <w:spacing w:val="120"/>
          <w:kern w:val="1"/>
          <w:sz w:val="44"/>
          <w:szCs w:val="44"/>
          <w:u w:val="none"/>
        </w:rPr>
      </w:pPr>
    </w:p>
    <w:p w14:paraId="4BC4C90F">
      <w:pPr>
        <w:suppressAutoHyphens/>
        <w:jc w:val="center"/>
        <w:rPr>
          <w:rFonts w:ascii="宋体" w:cs="方正小标宋_GBK"/>
          <w:spacing w:val="120"/>
          <w:kern w:val="1"/>
          <w:sz w:val="44"/>
          <w:szCs w:val="44"/>
          <w:u w:val="none"/>
        </w:rPr>
      </w:pPr>
      <w:r>
        <w:rPr>
          <w:rFonts w:hint="eastAsia" w:ascii="宋体" w:hAnsi="宋体" w:cs="方正小标宋_GBK"/>
          <w:spacing w:val="120"/>
          <w:kern w:val="1"/>
          <w:sz w:val="44"/>
          <w:szCs w:val="44"/>
          <w:u w:val="none"/>
          <w:lang w:val="en-US" w:eastAsia="zh-CN"/>
        </w:rPr>
        <w:t>广州市花都区</w:t>
      </w:r>
      <w:r>
        <w:rPr>
          <w:rFonts w:hint="eastAsia" w:ascii="宋体" w:hAnsi="宋体" w:cs="方正小标宋_GBK"/>
          <w:spacing w:val="120"/>
          <w:kern w:val="1"/>
          <w:sz w:val="44"/>
          <w:szCs w:val="44"/>
          <w:u w:val="none"/>
          <w:lang w:eastAsia="ar-SA"/>
        </w:rPr>
        <w:t>人民政府</w:t>
      </w:r>
    </w:p>
    <w:p w14:paraId="1EECD2DE">
      <w:pPr>
        <w:pStyle w:val="2"/>
        <w:jc w:val="center"/>
        <w:rPr>
          <w:rFonts w:ascii="方正小标宋_GBK" w:hAnsi="小标宋" w:eastAsia="方正小标宋_GBK" w:cs="小标宋"/>
          <w:spacing w:val="20"/>
          <w:kern w:val="4"/>
          <w:sz w:val="44"/>
          <w:szCs w:val="44"/>
          <w:u w:val="none"/>
        </w:rPr>
      </w:pPr>
      <w:r>
        <w:rPr>
          <w:rFonts w:hint="eastAsia" w:ascii="方正小标宋_GBK" w:hAnsi="小标宋" w:eastAsia="方正小标宋_GBK" w:cs="小标宋"/>
          <w:spacing w:val="20"/>
          <w:kern w:val="4"/>
          <w:sz w:val="44"/>
          <w:szCs w:val="44"/>
          <w:u w:val="none"/>
        </w:rPr>
        <w:t>不予受理行政复议申请决定书</w:t>
      </w:r>
    </w:p>
    <w:p w14:paraId="56C9EFEB">
      <w:pPr>
        <w:suppressAutoHyphens/>
        <w:spacing w:line="548" w:lineRule="exact"/>
        <w:jc w:val="center"/>
        <w:rPr>
          <w:rFonts w:ascii="Times New Roman" w:hAnsi="Times New Roman" w:eastAsia="方正黑体_GBK"/>
          <w:kern w:val="1"/>
          <w:sz w:val="44"/>
          <w:szCs w:val="44"/>
          <w:u w:val="none"/>
          <w:lang w:eastAsia="ar-SA"/>
        </w:rPr>
      </w:pPr>
    </w:p>
    <w:p w14:paraId="34E6896E">
      <w:pPr>
        <w:suppressAutoHyphens/>
        <w:spacing w:line="548" w:lineRule="exact"/>
        <w:jc w:val="right"/>
        <w:rPr>
          <w:rFonts w:ascii="仿宋_GB2312" w:hAnsi="仿宋_GB2312" w:eastAsia="仿宋_GB2312"/>
          <w:kern w:val="1"/>
          <w:sz w:val="32"/>
          <w:szCs w:val="24"/>
          <w:u w:val="none"/>
        </w:rPr>
      </w:pPr>
      <w:r>
        <w:rPr>
          <w:rFonts w:hint="eastAsia" w:ascii="仿宋_GB2312" w:hAnsi="仿宋_GB2312" w:eastAsia="仿宋_GB2312"/>
          <w:kern w:val="1"/>
          <w:sz w:val="32"/>
          <w:szCs w:val="24"/>
          <w:u w:val="none"/>
          <w:lang w:val="en-US" w:eastAsia="zh-CN"/>
        </w:rPr>
        <w:t>花都</w:t>
      </w:r>
      <w:r>
        <w:rPr>
          <w:rFonts w:hint="eastAsia" w:ascii="仿宋_GB2312" w:hAnsi="仿宋_GB2312" w:eastAsia="仿宋_GB2312"/>
          <w:kern w:val="1"/>
          <w:sz w:val="32"/>
          <w:szCs w:val="24"/>
          <w:u w:val="none"/>
        </w:rPr>
        <w:t>府行复</w:t>
      </w:r>
      <w:r>
        <w:rPr>
          <w:rFonts w:hint="eastAsia" w:ascii="仿宋_GB2312" w:hAnsi="仿宋_GB2312" w:eastAsia="仿宋_GB2312"/>
          <w:kern w:val="1"/>
          <w:sz w:val="32"/>
          <w:szCs w:val="24"/>
          <w:u w:val="none"/>
          <w:lang w:eastAsia="ar-SA"/>
        </w:rPr>
        <w:t>〔</w:t>
      </w:r>
      <w:r>
        <w:rPr>
          <w:rFonts w:hint="eastAsia" w:ascii="仿宋_GB2312" w:hAnsi="仿宋_GB2312" w:eastAsia="仿宋_GB2312"/>
          <w:kern w:val="1"/>
          <w:sz w:val="32"/>
          <w:szCs w:val="24"/>
          <w:u w:val="none"/>
          <w:lang w:val="en-US" w:eastAsia="zh-CN"/>
        </w:rPr>
        <w:t>2021</w:t>
      </w:r>
      <w:r>
        <w:rPr>
          <w:rFonts w:hint="eastAsia" w:ascii="仿宋_GB2312" w:hAnsi="仿宋_GB2312" w:eastAsia="仿宋_GB2312"/>
          <w:kern w:val="1"/>
          <w:sz w:val="32"/>
          <w:szCs w:val="24"/>
          <w:u w:val="none"/>
          <w:lang w:eastAsia="ar-SA"/>
        </w:rPr>
        <w:t>〕</w:t>
      </w:r>
      <w:r>
        <w:rPr>
          <w:rFonts w:hint="eastAsia" w:ascii="仿宋_GB2312" w:hAnsi="仿宋_GB2312" w:eastAsia="仿宋_GB2312"/>
          <w:kern w:val="1"/>
          <w:sz w:val="32"/>
          <w:szCs w:val="24"/>
          <w:u w:val="none"/>
          <w:lang w:val="en-US" w:eastAsia="zh-CN"/>
        </w:rPr>
        <w:t>326</w:t>
      </w:r>
      <w:r>
        <w:rPr>
          <w:rFonts w:hint="eastAsia" w:ascii="仿宋_GB2312" w:hAnsi="仿宋_GB2312" w:eastAsia="仿宋_GB2312"/>
          <w:kern w:val="1"/>
          <w:sz w:val="32"/>
          <w:szCs w:val="24"/>
          <w:u w:val="none"/>
          <w:lang w:eastAsia="ar-SA"/>
        </w:rPr>
        <w:t>号</w:t>
      </w:r>
    </w:p>
    <w:p w14:paraId="40AB9981">
      <w:pPr>
        <w:suppressAutoHyphens/>
        <w:spacing w:line="548" w:lineRule="exact"/>
        <w:jc w:val="right"/>
        <w:rPr>
          <w:rFonts w:ascii="仿宋_GB2312" w:hAnsi="仿宋_GB2312" w:eastAsia="仿宋_GB2312"/>
          <w:kern w:val="1"/>
          <w:sz w:val="32"/>
          <w:szCs w:val="32"/>
          <w:u w:val="none"/>
        </w:rPr>
      </w:pPr>
    </w:p>
    <w:p w14:paraId="30A5F299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val="en-US" w:eastAsia="zh-CN"/>
        </w:rPr>
        <w:t>许某某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：</w:t>
      </w:r>
    </w:p>
    <w:p w14:paraId="4742AAC4">
      <w:pPr>
        <w:suppressAutoHyphens/>
        <w:ind w:firstLine="640"/>
        <w:rPr>
          <w:rFonts w:ascii="仿宋_GB2312" w:hAnsi="仿宋_GB2312" w:eastAsia="仿宋_GB2312"/>
          <w:kern w:val="1"/>
          <w:sz w:val="32"/>
          <w:szCs w:val="32"/>
          <w:u w:val="none"/>
        </w:rPr>
      </w:pP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你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eastAsia="ar-SA"/>
        </w:rPr>
        <w:t>不服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val="en-US" w:eastAsia="ar-SA"/>
        </w:rPr>
        <w:t>广州市花都区人民政府新雅街道办事处于2021年11月8日作出的新雅信[2021]258号《关于许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val="en-US" w:eastAsia="zh-CN"/>
        </w:rPr>
        <w:t>某某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val="en-US" w:eastAsia="ar-SA"/>
        </w:rPr>
        <w:t>反映事项处理意见》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，向本府申请行政复议。</w:t>
      </w:r>
    </w:p>
    <w:p w14:paraId="6519D06A">
      <w:pPr>
        <w:suppressAutoHyphens/>
        <w:ind w:firstLine="640"/>
        <w:rPr>
          <w:rFonts w:hint="eastAsia"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黑体" w:hAnsi="黑体" w:eastAsia="黑体"/>
          <w:kern w:val="1"/>
          <w:sz w:val="32"/>
          <w:szCs w:val="32"/>
          <w:u w:val="none"/>
        </w:rPr>
        <w:t>经审查：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  <w:lang w:val="en-US" w:eastAsia="zh-CN"/>
        </w:rPr>
        <w:t>该《事项处理意见》属于信访事项答复意见，不属于可复议的具体行政行为，如果你对该《事项处理意见》不服，可根据《信访条例》相关规定，申请信访复查复核。</w:t>
      </w:r>
    </w:p>
    <w:p w14:paraId="78C057F6">
      <w:pPr>
        <w:suppressAutoHyphens/>
        <w:ind w:firstLine="640"/>
        <w:rPr>
          <w:rFonts w:hint="eastAsia" w:ascii="仿宋_GB2312" w:hAnsi="仿宋_GB2312" w:eastAsia="仿宋_GB2312"/>
          <w:kern w:val="1"/>
          <w:sz w:val="32"/>
          <w:szCs w:val="32"/>
          <w:u w:val="none"/>
        </w:rPr>
      </w:pPr>
      <w:r>
        <w:rPr>
          <w:rFonts w:hint="eastAsia" w:ascii="黑体" w:hAnsi="黑体" w:eastAsia="黑体"/>
          <w:kern w:val="1"/>
          <w:sz w:val="32"/>
          <w:szCs w:val="32"/>
          <w:u w:val="none"/>
        </w:rPr>
        <w:t>本府认为：</w:t>
      </w:r>
      <w:r>
        <w:rPr>
          <w:rFonts w:hint="eastAsia" w:ascii="仿宋" w:hAnsi="仿宋" w:eastAsia="仿宋" w:cs="仿宋"/>
          <w:kern w:val="1"/>
          <w:sz w:val="32"/>
          <w:szCs w:val="32"/>
          <w:u w:val="none"/>
          <w:lang w:eastAsia="zh-CN"/>
        </w:rPr>
        <w:t>根据《中华人民共和国行政复议法实施条例》第二十八条规定：“行政复议申请符合下列规定的，应当予以受理：</w:t>
      </w:r>
      <w:r>
        <w:rPr>
          <w:rFonts w:hint="eastAsia" w:ascii="仿宋" w:hAnsi="仿宋" w:eastAsia="仿宋" w:cs="仿宋"/>
          <w:kern w:val="1"/>
          <w:sz w:val="32"/>
          <w:szCs w:val="32"/>
          <w:u w:val="none"/>
          <w:lang w:val="en-US" w:eastAsia="zh-CN"/>
        </w:rPr>
        <w:t>...（五）属于</w:t>
      </w:r>
      <w:r>
        <w:rPr>
          <w:rFonts w:hint="eastAsia" w:ascii="仿宋" w:hAnsi="仿宋" w:eastAsia="仿宋" w:cs="仿宋"/>
          <w:color w:val="auto"/>
          <w:kern w:val="1"/>
          <w:sz w:val="32"/>
          <w:szCs w:val="32"/>
          <w:u w:val="none"/>
          <w:lang w:val="en-US" w:eastAsia="zh-CN"/>
        </w:rPr>
        <w:t>行政复议法</w:t>
      </w:r>
      <w:r>
        <w:rPr>
          <w:rFonts w:hint="eastAsia" w:ascii="仿宋" w:hAnsi="仿宋" w:eastAsia="仿宋" w:cs="仿宋"/>
          <w:kern w:val="1"/>
          <w:sz w:val="32"/>
          <w:szCs w:val="32"/>
          <w:u w:val="none"/>
          <w:lang w:val="en-US" w:eastAsia="zh-CN"/>
        </w:rPr>
        <w:t xml:space="preserve">规定的行政复议范围 </w:t>
      </w:r>
      <w:r>
        <w:rPr>
          <w:rFonts w:hint="eastAsia" w:ascii="仿宋" w:hAnsi="仿宋" w:eastAsia="仿宋" w:cs="仿宋"/>
          <w:kern w:val="1"/>
          <w:sz w:val="32"/>
          <w:szCs w:val="32"/>
          <w:u w:val="none"/>
          <w:lang w:eastAsia="zh-CN"/>
        </w:rPr>
        <w:t>”，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你的行政复议申请不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eastAsia="zh-CN"/>
        </w:rPr>
        <w:t>符合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行政复议受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eastAsia="zh-CN"/>
        </w:rPr>
        <w:t>理条件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。</w:t>
      </w:r>
    </w:p>
    <w:p w14:paraId="37029EF2">
      <w:pPr>
        <w:suppressAutoHyphens/>
        <w:ind w:firstLine="640"/>
        <w:rPr>
          <w:rFonts w:hint="eastAsia" w:ascii="仿宋_GB2312" w:hAnsi="仿宋_GB2312" w:eastAsia="仿宋_GB2312"/>
          <w:kern w:val="1"/>
          <w:sz w:val="32"/>
          <w:szCs w:val="32"/>
          <w:u w:val="none"/>
        </w:rPr>
      </w:pPr>
      <w:r>
        <w:rPr>
          <w:rFonts w:hint="eastAsia" w:ascii="黑体" w:hAnsi="黑体" w:eastAsia="黑体"/>
          <w:kern w:val="1"/>
          <w:sz w:val="32"/>
          <w:szCs w:val="32"/>
          <w:u w:val="none"/>
        </w:rPr>
        <w:t>本府决定：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eastAsia="ar-SA"/>
        </w:rPr>
        <w:t>根据《中华人民共和国行政复议法》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第六条、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eastAsia="ar-SA"/>
        </w:rPr>
        <w:t>第十七条第一款的规定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>，对你的行政复议申请不予受理。</w:t>
      </w:r>
    </w:p>
    <w:p w14:paraId="11BE15EA">
      <w:pPr>
        <w:ind w:firstLine="630"/>
        <w:rPr>
          <w:rFonts w:hint="eastAsia"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申请人如不服本决定，可以在收到本《不予受理行政复</w:t>
      </w:r>
    </w:p>
    <w:p w14:paraId="4908D7C7">
      <w:pPr>
        <w:ind w:firstLine="0"/>
        <w:rPr>
          <w:rFonts w:ascii="仿宋_GB2312" w:eastAsia="仿宋_GB2312"/>
          <w:sz w:val="32"/>
          <w:szCs w:val="32"/>
          <w:u w:val="none"/>
        </w:rPr>
      </w:pPr>
      <w:r>
        <w:rPr>
          <w:rFonts w:hint="eastAsia" w:ascii="仿宋_GB2312" w:eastAsia="仿宋_GB2312"/>
          <w:sz w:val="32"/>
          <w:szCs w:val="32"/>
          <w:u w:val="none"/>
        </w:rPr>
        <w:t>议申请决定书》之日起</w:t>
      </w:r>
      <w:r>
        <w:rPr>
          <w:rFonts w:ascii="仿宋_GB2312" w:eastAsia="仿宋_GB2312"/>
          <w:sz w:val="32"/>
          <w:szCs w:val="32"/>
          <w:u w:val="none"/>
        </w:rPr>
        <w:t>15</w:t>
      </w:r>
      <w:r>
        <w:rPr>
          <w:rFonts w:hint="eastAsia" w:ascii="仿宋_GB2312" w:eastAsia="仿宋_GB2312"/>
          <w:sz w:val="32"/>
          <w:szCs w:val="32"/>
          <w:u w:val="none"/>
        </w:rPr>
        <w:t>日内，依法向有管辖权的人民法院起诉。</w:t>
      </w:r>
    </w:p>
    <w:p w14:paraId="7F5B2BBC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</w:p>
    <w:p w14:paraId="6017E996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</w:p>
    <w:p w14:paraId="748AC4F7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</w:p>
    <w:p w14:paraId="5C568EC0">
      <w:pPr>
        <w:pStyle w:val="2"/>
        <w:rPr>
          <w:rFonts w:hAnsi="宋体" w:cs="宋体"/>
          <w:u w:val="none"/>
        </w:rPr>
      </w:pPr>
      <w:r>
        <w:rPr>
          <w:rFonts w:hAnsi="宋体" w:cs="宋体"/>
          <w:u w:val="none"/>
        </w:rPr>
        <w:t xml:space="preserve">    </w:t>
      </w:r>
      <w:r>
        <w:rPr>
          <w:rFonts w:hint="eastAsia" w:hAnsi="宋体" w:cs="宋体"/>
          <w:u w:val="none"/>
        </w:rPr>
        <w:t>本件与原件核对无异</w:t>
      </w:r>
    </w:p>
    <w:p w14:paraId="7B011058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</w:p>
    <w:p w14:paraId="3210DAB7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</w:p>
    <w:p w14:paraId="5BE2C46F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</w:p>
    <w:p w14:paraId="15E3EFBC">
      <w:pPr>
        <w:suppressAutoHyphens/>
        <w:rPr>
          <w:rFonts w:ascii="仿宋_GB2312" w:hAnsi="仿宋_GB2312" w:eastAsia="仿宋_GB2312"/>
          <w:kern w:val="1"/>
          <w:sz w:val="32"/>
          <w:szCs w:val="32"/>
          <w:u w:val="none"/>
        </w:rPr>
      </w:pPr>
      <w:r>
        <w:rPr>
          <w:rFonts w:hint="eastAsia" w:ascii="仿宋_GB2312" w:hAnsi="仿宋_GB2312" w:eastAsia="仿宋_GB2312"/>
          <w:kern w:val="1"/>
          <w:sz w:val="32"/>
          <w:szCs w:val="32"/>
          <w:u w:val="none"/>
        </w:rPr>
        <w:t xml:space="preserve">                  </w:t>
      </w:r>
      <w:r>
        <w:rPr>
          <w:rFonts w:hint="eastAsia" w:ascii="仿宋_GB2312" w:hAnsi="仿宋_GB2312" w:eastAsia="仿宋_GB2312"/>
          <w:kern w:val="1"/>
          <w:sz w:val="32"/>
          <w:szCs w:val="32"/>
          <w:u w:val="none"/>
          <w:lang w:val="en-US" w:eastAsia="zh-CN"/>
        </w:rPr>
        <w:t xml:space="preserve"> </w:t>
      </w:r>
    </w:p>
    <w:p w14:paraId="30809C77">
      <w:pPr>
        <w:suppressAutoHyphens/>
        <w:rPr>
          <w:rFonts w:ascii="仿宋_GB2312" w:hAnsi="宋体" w:eastAsia="仿宋_GB2312" w:cs="宋体"/>
          <w:sz w:val="32"/>
          <w:szCs w:val="21"/>
          <w:u w:val="none"/>
        </w:rPr>
      </w:pPr>
      <w:r>
        <w:rPr>
          <w:rFonts w:hint="eastAsia" w:ascii="仿宋_GB2312" w:hAnsi="宋体" w:eastAsia="仿宋_GB2312" w:cs="宋体"/>
          <w:sz w:val="32"/>
          <w:szCs w:val="32"/>
          <w:u w:val="none"/>
        </w:rPr>
        <w:t xml:space="preserve">                          二</w:t>
      </w:r>
      <w:r>
        <w:rPr>
          <w:rFonts w:hint="eastAsia" w:ascii="宋体" w:hAnsi="宋体" w:cs="宋体"/>
          <w:sz w:val="32"/>
          <w:szCs w:val="32"/>
          <w:u w:val="none"/>
        </w:rPr>
        <w:t>〇</w:t>
      </w:r>
      <w:r>
        <w:rPr>
          <w:rFonts w:hint="eastAsia" w:ascii="仿宋_GB2312" w:hAnsi="宋体" w:eastAsia="仿宋_GB2312" w:cs="宋体"/>
          <w:sz w:val="32"/>
          <w:szCs w:val="32"/>
          <w:u w:val="none"/>
        </w:rPr>
        <w:t>二</w:t>
      </w:r>
      <w:r>
        <w:rPr>
          <w:rFonts w:hint="eastAsia" w:ascii="仿宋_GB2312" w:hAnsi="宋体" w:eastAsia="仿宋_GB2312" w:cs="宋体"/>
          <w:sz w:val="32"/>
          <w:szCs w:val="32"/>
          <w:u w:val="none"/>
          <w:lang w:val="en-US" w:eastAsia="zh-CN"/>
        </w:rPr>
        <w:t>一</w:t>
      </w:r>
      <w:r>
        <w:rPr>
          <w:rFonts w:hint="eastAsia" w:ascii="仿宋_GB2312" w:hAnsi="宋体" w:eastAsia="仿宋_GB2312" w:cs="宋体"/>
          <w:sz w:val="32"/>
          <w:szCs w:val="21"/>
          <w:u w:val="none"/>
        </w:rPr>
        <w:t>年</w:t>
      </w:r>
      <w:r>
        <w:rPr>
          <w:rFonts w:hint="eastAsia" w:ascii="仿宋_GB2312" w:hAnsi="宋体" w:eastAsia="仿宋_GB2312" w:cs="宋体"/>
          <w:sz w:val="32"/>
          <w:szCs w:val="21"/>
          <w:u w:val="none"/>
          <w:lang w:val="en-US" w:eastAsia="zh-CN"/>
        </w:rPr>
        <w:t>十一</w:t>
      </w:r>
      <w:r>
        <w:rPr>
          <w:rFonts w:hint="eastAsia" w:ascii="仿宋_GB2312" w:hAnsi="宋体" w:eastAsia="仿宋_GB2312" w:cs="宋体"/>
          <w:sz w:val="32"/>
          <w:szCs w:val="21"/>
          <w:u w:val="none"/>
        </w:rPr>
        <w:t>月</w:t>
      </w:r>
      <w:r>
        <w:rPr>
          <w:rFonts w:hint="eastAsia" w:ascii="仿宋_GB2312" w:hAnsi="宋体" w:eastAsia="仿宋_GB2312" w:cs="宋体"/>
          <w:sz w:val="32"/>
          <w:szCs w:val="21"/>
          <w:u w:val="none"/>
          <w:lang w:val="en-US" w:eastAsia="zh-CN"/>
        </w:rPr>
        <w:t>二十四</w:t>
      </w:r>
      <w:r>
        <w:rPr>
          <w:rFonts w:hint="eastAsia" w:ascii="仿宋_GB2312" w:hAnsi="宋体" w:eastAsia="仿宋_GB2312" w:cs="宋体"/>
          <w:sz w:val="32"/>
          <w:szCs w:val="21"/>
          <w:u w:val="none"/>
        </w:rPr>
        <w:t>日</w:t>
      </w:r>
    </w:p>
    <w:p w14:paraId="6DBF6921">
      <w:pPr>
        <w:suppressAutoHyphens/>
        <w:rPr>
          <w:rFonts w:ascii="宋体" w:cs="宋体"/>
          <w:sz w:val="32"/>
          <w:szCs w:val="21"/>
          <w:u w:val="none"/>
        </w:rPr>
      </w:pPr>
    </w:p>
    <w:bookmarkEnd w:id="0"/>
    <w:p w14:paraId="5CAB5557">
      <w:pPr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4C05F50"/>
    <w:rsid w:val="15FF1807"/>
    <w:rsid w:val="17682F98"/>
    <w:rsid w:val="34D02C5E"/>
    <w:rsid w:val="390F2109"/>
    <w:rsid w:val="453341B3"/>
    <w:rsid w:val="4AB83458"/>
    <w:rsid w:val="570B06EF"/>
    <w:rsid w:val="72C54C83"/>
    <w:rsid w:val="79DD68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eastAsia="仿宋_GB2312" w:cs="Courier New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区司法局</Company>
  <Pages>2</Pages>
  <Words>396</Words>
  <Characters>416</Characters>
  <Lines>0</Lines>
  <Paragraphs>0</Paragraphs>
  <TotalTime>12</TotalTime>
  <ScaleCrop>false</ScaleCrop>
  <LinksUpToDate>false</LinksUpToDate>
  <CharactersWithSpaces>466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2021-07-01T06:55:00Z</dcterms:created>
  <dc:creator>Lenovo</dc:creator>
  <cp:lastModifiedBy>欣</cp:lastModifiedBy>
  <cp:lastPrinted>2021-11-25T01:31:00Z</cp:lastPrinted>
  <dcterms:modified xsi:type="dcterms:W3CDTF">2025-10-14T15:08:24Z</dcterms:modified>
  <dc:title>广州市花都区人民政府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591CAD52995E45899670A0B3DC59D714</vt:lpwstr>
  </property>
  <property fmtid="{D5CDD505-2E9C-101B-9397-08002B2CF9AE}" pid="4" name="KSOTemplateDocerSaveRecord">
    <vt:lpwstr>eyJoZGlkIjoiMDY5NmFjMmM4ZTljMGJiZDAxN2JmYTc0NGI0NmFiNDgiLCJ1c2VySWQiOiI1ODM0MTcyNjYifQ==</vt:lpwstr>
  </property>
</Properties>
</file>