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486B59">
      <w:pPr>
        <w:suppressAutoHyphens/>
        <w:jc w:val="center"/>
        <w:rPr>
          <w:rFonts w:ascii="宋体" w:cs="方正小标宋_GBK"/>
          <w:spacing w:val="120"/>
          <w:kern w:val="1"/>
          <w:sz w:val="44"/>
          <w:szCs w:val="44"/>
        </w:rPr>
      </w:pPr>
    </w:p>
    <w:p w14:paraId="554B0E0C">
      <w:pPr>
        <w:suppressAutoHyphens/>
        <w:jc w:val="center"/>
        <w:rPr>
          <w:rFonts w:ascii="宋体" w:cs="方正小标宋_GBK"/>
          <w:spacing w:val="120"/>
          <w:kern w:val="1"/>
          <w:sz w:val="44"/>
          <w:szCs w:val="44"/>
        </w:rPr>
      </w:pPr>
    </w:p>
    <w:p w14:paraId="3B66BE99">
      <w:pPr>
        <w:suppressAutoHyphens/>
        <w:jc w:val="center"/>
        <w:rPr>
          <w:rFonts w:ascii="宋体" w:cs="方正小标宋_GBK"/>
          <w:spacing w:val="120"/>
          <w:kern w:val="1"/>
          <w:sz w:val="44"/>
          <w:szCs w:val="44"/>
        </w:rPr>
      </w:pPr>
    </w:p>
    <w:p w14:paraId="6FAABE0F">
      <w:pPr>
        <w:suppressAutoHyphens/>
        <w:jc w:val="center"/>
        <w:rPr>
          <w:rFonts w:ascii="宋体" w:cs="方正小标宋_GBK"/>
          <w:spacing w:val="119"/>
          <w:kern w:val="12"/>
          <w:sz w:val="44"/>
          <w:szCs w:val="44"/>
        </w:rPr>
      </w:pPr>
      <w:r>
        <w:rPr>
          <w:rFonts w:hint="eastAsia" w:ascii="宋体" w:hAnsi="宋体" w:cs="方正小标宋_GBK"/>
          <w:spacing w:val="120"/>
          <w:kern w:val="1"/>
          <w:sz w:val="44"/>
          <w:szCs w:val="44"/>
        </w:rPr>
        <w:t>广州市</w:t>
      </w:r>
      <w:r>
        <w:rPr>
          <w:rFonts w:hint="eastAsia" w:ascii="宋体" w:hAnsi="宋体" w:cs="方正小标宋_GBK"/>
          <w:spacing w:val="119"/>
          <w:kern w:val="12"/>
          <w:sz w:val="44"/>
          <w:szCs w:val="44"/>
        </w:rPr>
        <w:t>花都区</w:t>
      </w:r>
      <w:r>
        <w:rPr>
          <w:rFonts w:hint="eastAsia" w:ascii="宋体" w:hAnsi="宋体" w:cs="方正小标宋_GBK"/>
          <w:spacing w:val="119"/>
          <w:kern w:val="12"/>
          <w:sz w:val="44"/>
          <w:szCs w:val="44"/>
          <w:lang w:eastAsia="ar-SA"/>
        </w:rPr>
        <w:t>人民政府</w:t>
      </w:r>
    </w:p>
    <w:p w14:paraId="044A346C">
      <w:pPr>
        <w:pStyle w:val="2"/>
        <w:jc w:val="center"/>
        <w:rPr>
          <w:rFonts w:ascii="方正小标宋_GBK" w:hAnsi="小标宋" w:eastAsia="方正小标宋_GBK" w:cs="小标宋"/>
          <w:spacing w:val="20"/>
          <w:kern w:val="4"/>
          <w:sz w:val="44"/>
          <w:szCs w:val="44"/>
        </w:rPr>
      </w:pPr>
      <w:r>
        <w:rPr>
          <w:rFonts w:hint="eastAsia" w:ascii="方正小标宋_GBK" w:hAnsi="小标宋" w:eastAsia="方正小标宋_GBK" w:cs="小标宋"/>
          <w:spacing w:val="20"/>
          <w:kern w:val="4"/>
          <w:sz w:val="44"/>
          <w:szCs w:val="44"/>
        </w:rPr>
        <w:t>行政复议决定书</w:t>
      </w:r>
    </w:p>
    <w:p w14:paraId="2DC9C729">
      <w:pPr>
        <w:pStyle w:val="2"/>
        <w:spacing w:line="540" w:lineRule="exact"/>
        <w:jc w:val="center"/>
        <w:rPr>
          <w:rFonts w:ascii="方正小标宋简体" w:hAnsi="宋体" w:eastAsia="方正小标宋简体" w:cs="宋体"/>
          <w:sz w:val="44"/>
          <w:szCs w:val="44"/>
        </w:rPr>
      </w:pPr>
    </w:p>
    <w:p w14:paraId="30EA4504">
      <w:pPr>
        <w:pStyle w:val="2"/>
        <w:jc w:val="right"/>
        <w:rPr>
          <w:rFonts w:ascii="仿宋" w:hAnsi="仿宋" w:eastAsia="仿宋" w:cs="仿宋"/>
        </w:rPr>
      </w:pPr>
      <w:r>
        <w:rPr>
          <w:rFonts w:hint="eastAsia" w:ascii="仿宋" w:hAnsi="仿宋" w:eastAsia="仿宋" w:cs="仿宋"/>
        </w:rPr>
        <w:t>花都府行复〔2021〕349号</w:t>
      </w:r>
    </w:p>
    <w:p w14:paraId="26666B1E">
      <w:pPr>
        <w:pStyle w:val="2"/>
        <w:jc w:val="right"/>
        <w:rPr>
          <w:rFonts w:hAnsi="宋体" w:cs="宋体"/>
        </w:rPr>
      </w:pPr>
    </w:p>
    <w:p w14:paraId="42282E5F">
      <w:pPr>
        <w:pStyle w:val="2"/>
        <w:spacing w:line="560" w:lineRule="exact"/>
        <w:ind w:firstLine="643" w:firstLineChars="200"/>
        <w:rPr>
          <w:rFonts w:ascii="仿宋" w:hAnsi="仿宋" w:eastAsia="仿宋" w:cs="仿宋"/>
        </w:rPr>
      </w:pPr>
      <w:r>
        <w:rPr>
          <w:rFonts w:hint="eastAsia" w:ascii="仿宋" w:hAnsi="仿宋" w:eastAsia="仿宋" w:cs="仿宋"/>
          <w:b/>
        </w:rPr>
        <w:t>申请人：</w:t>
      </w:r>
      <w:r>
        <w:rPr>
          <w:rFonts w:hint="eastAsia" w:ascii="仿宋" w:hAnsi="仿宋" w:eastAsia="仿宋" w:cs="仿宋"/>
          <w:spacing w:val="4"/>
          <w:szCs w:val="32"/>
        </w:rPr>
        <w:t>何某</w:t>
      </w:r>
      <w:r>
        <w:rPr>
          <w:rFonts w:hint="eastAsia" w:ascii="仿宋" w:hAnsi="仿宋" w:eastAsia="仿宋" w:cs="仿宋"/>
        </w:rPr>
        <w:t xml:space="preserve">。 </w:t>
      </w:r>
    </w:p>
    <w:p w14:paraId="673024EF">
      <w:pPr>
        <w:pStyle w:val="2"/>
        <w:spacing w:line="560" w:lineRule="exact"/>
        <w:ind w:firstLine="643" w:firstLineChars="200"/>
        <w:rPr>
          <w:rFonts w:ascii="仿宋" w:hAnsi="仿宋" w:eastAsia="仿宋" w:cs="仿宋"/>
        </w:rPr>
      </w:pPr>
      <w:r>
        <w:rPr>
          <w:rFonts w:hint="eastAsia" w:ascii="仿宋" w:hAnsi="仿宋" w:eastAsia="仿宋" w:cs="仿宋"/>
          <w:b/>
        </w:rPr>
        <w:t>被申请人：</w:t>
      </w:r>
      <w:r>
        <w:rPr>
          <w:rFonts w:hint="eastAsia" w:ascii="仿宋" w:hAnsi="仿宋" w:eastAsia="仿宋" w:cs="仿宋"/>
          <w:spacing w:val="4"/>
          <w:szCs w:val="32"/>
        </w:rPr>
        <w:t>广州市花都区教育局。</w:t>
      </w:r>
    </w:p>
    <w:p w14:paraId="2B0DAFAC">
      <w:pPr>
        <w:pStyle w:val="2"/>
        <w:spacing w:line="560" w:lineRule="exact"/>
        <w:rPr>
          <w:rFonts w:hAnsi="宋体" w:cs="宋体"/>
        </w:rPr>
      </w:pPr>
    </w:p>
    <w:p w14:paraId="47193665">
      <w:pPr>
        <w:pStyle w:val="2"/>
        <w:tabs>
          <w:tab w:val="left" w:pos="6930"/>
        </w:tabs>
        <w:spacing w:line="560" w:lineRule="exact"/>
        <w:ind w:firstLine="640" w:firstLineChars="200"/>
        <w:rPr>
          <w:rFonts w:ascii="仿宋" w:hAnsi="仿宋" w:eastAsia="仿宋" w:cs="仿宋"/>
        </w:rPr>
      </w:pPr>
      <w:r>
        <w:rPr>
          <w:rFonts w:hint="eastAsia" w:ascii="仿宋" w:hAnsi="仿宋" w:eastAsia="仿宋" w:cs="仿宋"/>
        </w:rPr>
        <w:t>申请人不服被申请人</w:t>
      </w:r>
      <w:r>
        <w:rPr>
          <w:rFonts w:hint="eastAsia" w:ascii="仿宋" w:hAnsi="仿宋" w:eastAsia="仿宋" w:cs="仿宋"/>
          <w:spacing w:val="4"/>
          <w:szCs w:val="32"/>
        </w:rPr>
        <w:t>作出的政府信息公开申请答复书</w:t>
      </w:r>
      <w:r>
        <w:rPr>
          <w:rFonts w:hint="eastAsia" w:ascii="仿宋" w:hAnsi="仿宋" w:eastAsia="仿宋" w:cs="仿宋"/>
        </w:rPr>
        <w:t>，向本府申请行政复议，本府依法予以受理，现已审查终结。</w:t>
      </w:r>
    </w:p>
    <w:p w14:paraId="2D48A386">
      <w:pPr>
        <w:pStyle w:val="2"/>
        <w:spacing w:line="560" w:lineRule="exact"/>
        <w:ind w:firstLine="640" w:firstLineChars="200"/>
        <w:rPr>
          <w:rFonts w:ascii="黑体" w:hAnsi="黑体" w:eastAsia="黑体" w:cs="宋体"/>
        </w:rPr>
      </w:pPr>
      <w:r>
        <w:rPr>
          <w:rFonts w:hint="eastAsia" w:ascii="黑体" w:hAnsi="黑体" w:eastAsia="黑体" w:cs="宋体"/>
        </w:rPr>
        <w:t>申请人请求：</w:t>
      </w:r>
    </w:p>
    <w:p w14:paraId="2265EC89">
      <w:pPr>
        <w:pStyle w:val="2"/>
        <w:spacing w:line="560" w:lineRule="exact"/>
        <w:ind w:firstLine="656" w:firstLineChars="200"/>
        <w:rPr>
          <w:rFonts w:hint="eastAsia" w:ascii="仿宋" w:hAnsi="仿宋" w:eastAsia="仿宋" w:cs="仿宋"/>
          <w:spacing w:val="4"/>
          <w:szCs w:val="32"/>
        </w:rPr>
      </w:pPr>
      <w:r>
        <w:rPr>
          <w:rFonts w:hint="eastAsia" w:ascii="仿宋" w:hAnsi="仿宋" w:eastAsia="仿宋" w:cs="仿宋"/>
          <w:spacing w:val="4"/>
          <w:szCs w:val="32"/>
        </w:rPr>
        <w:t>撤销被申请人于2021年12月1日作出的花教函</w:t>
      </w:r>
      <w:r>
        <w:rPr>
          <w:rFonts w:hint="eastAsia" w:ascii="仿宋" w:hAnsi="仿宋" w:eastAsia="仿宋" w:cs="仿宋"/>
        </w:rPr>
        <w:t>〔2021〕</w:t>
      </w:r>
      <w:r>
        <w:rPr>
          <w:rFonts w:hint="eastAsia" w:ascii="仿宋" w:hAnsi="仿宋" w:eastAsia="仿宋" w:cs="仿宋"/>
          <w:spacing w:val="4"/>
          <w:szCs w:val="32"/>
        </w:rPr>
        <w:t>277号政府信息公开申请答复书，并责令被申请人正确履行政府信息公开法定职责。</w:t>
      </w:r>
    </w:p>
    <w:p w14:paraId="3B301897">
      <w:pPr>
        <w:pStyle w:val="2"/>
        <w:spacing w:line="560" w:lineRule="exact"/>
        <w:ind w:firstLine="640" w:firstLineChars="200"/>
        <w:rPr>
          <w:rFonts w:ascii="黑体" w:hAnsi="黑体" w:eastAsia="黑体" w:cs="宋体"/>
        </w:rPr>
      </w:pPr>
      <w:r>
        <w:rPr>
          <w:rFonts w:hint="eastAsia" w:ascii="黑体" w:hAnsi="黑体" w:eastAsia="黑体" w:cs="宋体"/>
        </w:rPr>
        <w:t>申请人称：</w:t>
      </w:r>
    </w:p>
    <w:p w14:paraId="3F2C2402">
      <w:pPr>
        <w:pStyle w:val="2"/>
        <w:spacing w:line="560" w:lineRule="exact"/>
        <w:ind w:firstLine="656" w:firstLineChars="200"/>
        <w:rPr>
          <w:rFonts w:ascii="仿宋" w:hAnsi="仿宋" w:eastAsia="仿宋" w:cs="仿宋"/>
          <w:spacing w:val="4"/>
          <w:szCs w:val="32"/>
        </w:rPr>
      </w:pPr>
      <w:r>
        <w:rPr>
          <w:rFonts w:hint="eastAsia" w:ascii="仿宋" w:hAnsi="仿宋" w:eastAsia="仿宋" w:cs="仿宋"/>
          <w:spacing w:val="4"/>
          <w:szCs w:val="32"/>
        </w:rPr>
        <w:t>申请人在2017年9月至2018年1月由某劳务公司派遣至花都区某某中学担任教学工作。与同岗位在编教师待遇存在较大差距，但实际工作与在编教师并无明显差别，工资每月税前5800元实际扣完税金等到手大概4000元，相同工作量的同学科其他教师扣完税金等到手大概8000元至12000元，且公积金缴纳金额远高于我。另外被申请人发布的新机制教师招聘年薪标准为15.6万左右。</w:t>
      </w:r>
    </w:p>
    <w:p w14:paraId="1B6E41B0">
      <w:pPr>
        <w:pStyle w:val="2"/>
        <w:spacing w:line="560" w:lineRule="exact"/>
        <w:ind w:firstLine="656" w:firstLineChars="200"/>
        <w:rPr>
          <w:rFonts w:ascii="仿宋" w:hAnsi="仿宋" w:eastAsia="仿宋" w:cs="仿宋"/>
          <w:spacing w:val="4"/>
          <w:szCs w:val="32"/>
        </w:rPr>
      </w:pPr>
      <w:r>
        <w:rPr>
          <w:rFonts w:hint="eastAsia" w:ascii="仿宋" w:hAnsi="仿宋" w:eastAsia="仿宋" w:cs="仿宋"/>
          <w:spacing w:val="4"/>
          <w:szCs w:val="32"/>
        </w:rPr>
        <w:t>作为人民教师，理应受到社会和人民政府的公平对待，不管编内编外，应当同工同酬。但被申请人处理教师待遇问题是很大的，不合规的过程和结果应该曝光，被申请人不能保证公民知情权、表达权、参与权和监督权的实现，降低了公众的监督能力，缺乏一个行政单位应有的担当与责任。依申请公开也未公开，申请人有理由怀疑对解决教师同工不同酬待遇存在慢作为、懒作为、不作为等问题。</w:t>
      </w:r>
    </w:p>
    <w:p w14:paraId="6FDAB20F">
      <w:pPr>
        <w:pStyle w:val="2"/>
        <w:spacing w:line="560" w:lineRule="exact"/>
        <w:ind w:firstLine="656" w:firstLineChars="200"/>
        <w:rPr>
          <w:rFonts w:ascii="仿宋" w:hAnsi="仿宋" w:eastAsia="仿宋" w:cs="仿宋"/>
          <w:spacing w:val="4"/>
          <w:szCs w:val="32"/>
        </w:rPr>
      </w:pPr>
      <w:r>
        <w:rPr>
          <w:rFonts w:hint="eastAsia" w:ascii="仿宋" w:hAnsi="仿宋" w:eastAsia="仿宋" w:cs="仿宋"/>
          <w:spacing w:val="4"/>
          <w:szCs w:val="32"/>
        </w:rPr>
        <w:t>综上，被申请人针对公开诉求并无提供针对性和准确性回复，反而暴露出被申请人在涉行政行为中存在不可告人的秘密，不明确也不公开具体依据问题。故请求贵府复议机构依法秉公核查，确认被申请人存在形式主义、官僚主义，责令依法正确履行政府信息公开申请义务。</w:t>
      </w:r>
    </w:p>
    <w:p w14:paraId="33EDE156">
      <w:pPr>
        <w:pStyle w:val="2"/>
        <w:spacing w:line="560" w:lineRule="exact"/>
        <w:ind w:firstLine="640" w:firstLineChars="200"/>
        <w:rPr>
          <w:rFonts w:ascii="黑体" w:hAnsi="黑体" w:eastAsia="黑体" w:cs="宋体"/>
        </w:rPr>
      </w:pPr>
      <w:r>
        <w:rPr>
          <w:rFonts w:hint="eastAsia" w:ascii="黑体" w:hAnsi="黑体" w:eastAsia="黑体" w:cs="宋体"/>
        </w:rPr>
        <w:t>被申请人答复称：</w:t>
      </w:r>
    </w:p>
    <w:p w14:paraId="47EA6BB2">
      <w:pPr>
        <w:spacing w:line="56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一、申请人申请公开的“花都区教育局招聘临聘教师、新机制教师、编制教师同工不同酬的依据”信息不存在，被申请人作出的《政府信息公开申请答复书》适用法律正确。</w:t>
      </w:r>
    </w:p>
    <w:p w14:paraId="07326223">
      <w:pPr>
        <w:spacing w:line="56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2021年11月23日，申请人何某向广州市花都区教育局提交《广州市花都区教育局政府信息公开申请表》（申请编号：[YSQ21112600033]），申请公开“花都区教育局招聘临聘教师、新机制教师、编制教师同工不同酬的依据”。</w:t>
      </w:r>
    </w:p>
    <w:p w14:paraId="32EB7D5B">
      <w:pPr>
        <w:spacing w:line="56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根据《中华人民</w:t>
      </w:r>
      <w:r>
        <w:rPr>
          <w:rFonts w:hint="eastAsia" w:ascii="仿宋" w:hAnsi="仿宋" w:eastAsia="仿宋" w:cs="仿宋"/>
          <w:spacing w:val="4"/>
          <w:sz w:val="32"/>
          <w:szCs w:val="32"/>
          <w:lang w:val="en-US" w:eastAsia="zh-CN"/>
        </w:rPr>
        <w:t>共和国</w:t>
      </w:r>
      <w:bookmarkStart w:id="0" w:name="_GoBack"/>
      <w:bookmarkEnd w:id="0"/>
      <w:r>
        <w:rPr>
          <w:rFonts w:hint="eastAsia" w:ascii="仿宋" w:hAnsi="仿宋" w:eastAsia="仿宋" w:cs="仿宋"/>
          <w:spacing w:val="4"/>
          <w:sz w:val="32"/>
          <w:szCs w:val="32"/>
        </w:rPr>
        <w:t>政府信息公开条例》第二条“本条例所称政府信息，是指行政机关在履行行政管理职能过程中制作或者获取的，以一定形式记录、保存的信息。”的规定，可知，“未制作”、“未获取”、“未保存”相应的政府信息，可视为属于“政府信息不存在”范畴。经被申请人检索，申请人所申请的信息在被申请人履行行政职能过程中未制作或获取，被申请人已依据《中华人民共和国政府信息公开条例》第三十六条第四款“对政府信息公开申请，行政机关根据下列情况分别作出答复：（四）经检索没有所申请公开信息的，告知申请人该政府信息不存在；”的规定，于2021年12月1日向何某作出了不予公开答复（花教函【2021】277号）告知申请人所申请信息未制作或获取，造用法律正确。</w:t>
      </w:r>
    </w:p>
    <w:p w14:paraId="0F34DF15">
      <w:pPr>
        <w:numPr>
          <w:ilvl w:val="0"/>
          <w:numId w:val="1"/>
        </w:numPr>
        <w:spacing w:line="56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被申请人在规定的期限内予以答复，作出的《政府信息公开申请答复书》程序合法。</w:t>
      </w:r>
    </w:p>
    <w:p w14:paraId="7A5EE5FE">
      <w:pPr>
        <w:spacing w:line="56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根据《中华人民共和国政府信息公开条例》第三十三条：“行政机关收到政府信息公开申请，能够当场答复的，应当当场予以答复，行政机关不能当场答复的，应当自收到申请之日起20个工作日内予以答复；需要延长答复期限的，应当经政府信息公开工作机构负责人同意并告知申请人，延长的期限最长不得超过20个工作日，”的规定，申请人何某于2021年11月23日向被申请人申请政府信息公开，被申请人于2021年12月1日向申请人何某予以答复，并未超过法定期限，作出程序合法合规。</w:t>
      </w:r>
    </w:p>
    <w:p w14:paraId="25AA3869">
      <w:pPr>
        <w:spacing w:line="560" w:lineRule="exact"/>
        <w:ind w:firstLine="656" w:firstLineChars="200"/>
        <w:rPr>
          <w:rFonts w:ascii="仿宋_GB2312" w:hAnsi="仿宋_GB2312" w:eastAsia="仿宋_GB2312" w:cs="仿宋_GB2312"/>
          <w:spacing w:val="4"/>
          <w:sz w:val="32"/>
          <w:szCs w:val="32"/>
        </w:rPr>
      </w:pPr>
      <w:r>
        <w:rPr>
          <w:rFonts w:hint="eastAsia" w:ascii="仿宋" w:hAnsi="仿宋" w:eastAsia="仿宋" w:cs="仿宋"/>
          <w:spacing w:val="4"/>
          <w:sz w:val="32"/>
          <w:szCs w:val="32"/>
        </w:rPr>
        <w:t>综上，被申请人作出的《政府信息公开申请答复书》（花教函【2021】277号）适用法律正确，作出程序合法，请求驳回申请人的复议请求。</w:t>
      </w:r>
      <w:r>
        <w:rPr>
          <w:rFonts w:hint="eastAsia" w:ascii="仿宋_GB2312" w:hAnsi="仿宋_GB2312" w:eastAsia="仿宋_GB2312" w:cs="仿宋_GB2312"/>
          <w:spacing w:val="4"/>
          <w:sz w:val="32"/>
          <w:szCs w:val="32"/>
        </w:rPr>
        <w:t xml:space="preserve">    </w:t>
      </w:r>
    </w:p>
    <w:p w14:paraId="0E42E6CB">
      <w:pPr>
        <w:pStyle w:val="2"/>
        <w:spacing w:line="560" w:lineRule="exact"/>
        <w:ind w:firstLine="640" w:firstLineChars="200"/>
        <w:rPr>
          <w:rFonts w:hAnsi="仿宋_GB2312" w:cs="仿宋_GB2312"/>
          <w:spacing w:val="4"/>
          <w:szCs w:val="32"/>
        </w:rPr>
      </w:pPr>
      <w:r>
        <w:rPr>
          <w:rFonts w:hint="eastAsia" w:ascii="黑体" w:hAnsi="黑体" w:eastAsia="黑体" w:cs="宋体"/>
        </w:rPr>
        <w:t>本府查明：</w:t>
      </w:r>
    </w:p>
    <w:p w14:paraId="379CBAA3">
      <w:pPr>
        <w:spacing w:line="56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2021年11月23日，申请人何某向广州市花都区教育局提交《广州市花都区教育局政府信息公开申请表》（申请编号：[YSQ21112600033]），申请公开花都区教育局招聘临聘教师、新机制教师、编制教师同工不同酬的依据的政府信息。被申请人于当日收到该申请后，经检索后未查找到相关政府信息，遂于2021年12月1日作出花教函〔2021〕277号《政府信息公开申请答复书》，明确告知申请人何某其申请的政府信息在被申请人履行行政管理职能过程中未制作或获取，并于2021年12月6日送达给申请人。申请人对该《政府信息公开申请答复书》不服，向本府申请行政复议。</w:t>
      </w:r>
    </w:p>
    <w:p w14:paraId="12B0BE3C">
      <w:pPr>
        <w:spacing w:line="560" w:lineRule="exact"/>
        <w:ind w:firstLine="656" w:firstLineChars="200"/>
        <w:rPr>
          <w:rFonts w:ascii="仿宋" w:hAnsi="仿宋" w:eastAsia="仿宋" w:cs="仿宋"/>
          <w:sz w:val="32"/>
          <w:szCs w:val="32"/>
        </w:rPr>
      </w:pPr>
      <w:r>
        <w:rPr>
          <w:rFonts w:hint="eastAsia" w:ascii="仿宋" w:hAnsi="仿宋" w:eastAsia="仿宋" w:cs="仿宋"/>
          <w:spacing w:val="4"/>
          <w:sz w:val="32"/>
          <w:szCs w:val="32"/>
        </w:rPr>
        <w:t>以上事实有《广州市花都区教育局政府信息公开申请表》（申请编号：[YSQ21112600033]）、检索信息截图、花教函〔2021〕277号《政府信息公开申请答复书》、送达凭证截图、申请人身份证复印件等证据证明。</w:t>
      </w:r>
    </w:p>
    <w:p w14:paraId="217EAE0F">
      <w:pPr>
        <w:pStyle w:val="2"/>
        <w:spacing w:line="560" w:lineRule="exact"/>
        <w:ind w:firstLine="640" w:firstLineChars="200"/>
        <w:rPr>
          <w:rFonts w:ascii="黑体" w:hAnsi="黑体" w:eastAsia="黑体" w:cs="宋体"/>
        </w:rPr>
      </w:pPr>
      <w:r>
        <w:rPr>
          <w:rFonts w:hint="eastAsia" w:ascii="黑体" w:hAnsi="黑体" w:eastAsia="黑体" w:cs="宋体"/>
        </w:rPr>
        <w:t>本府认为：</w:t>
      </w:r>
    </w:p>
    <w:p w14:paraId="13E83A03">
      <w:pPr>
        <w:pStyle w:val="2"/>
        <w:spacing w:line="560" w:lineRule="exact"/>
        <w:ind w:firstLine="640" w:firstLineChars="200"/>
        <w:rPr>
          <w:rFonts w:ascii="仿宋" w:hAnsi="仿宋" w:eastAsia="仿宋" w:cs="仿宋"/>
          <w:szCs w:val="32"/>
        </w:rPr>
      </w:pPr>
      <w:r>
        <w:rPr>
          <w:rFonts w:hint="eastAsia" w:ascii="仿宋" w:hAnsi="仿宋" w:eastAsia="仿宋" w:cs="仿宋"/>
          <w:szCs w:val="32"/>
        </w:rPr>
        <w:t>对于申请人申请公开的花都区教育局招聘临聘教师、新机制教师、编制教师同工不同酬的依据</w:t>
      </w:r>
      <w:r>
        <w:rPr>
          <w:rFonts w:hint="eastAsia" w:ascii="仿宋" w:hAnsi="仿宋" w:eastAsia="仿宋" w:cs="仿宋"/>
          <w:spacing w:val="4"/>
          <w:szCs w:val="32"/>
        </w:rPr>
        <w:t>，被申请人经检索后未能查找到相关信息，</w:t>
      </w:r>
      <w:r>
        <w:rPr>
          <w:rFonts w:hint="eastAsia" w:ascii="仿宋" w:hAnsi="仿宋" w:eastAsia="仿宋" w:cs="仿宋"/>
          <w:szCs w:val="32"/>
        </w:rPr>
        <w:t>根据</w:t>
      </w:r>
      <w:r>
        <w:rPr>
          <w:rFonts w:hint="eastAsia" w:ascii="仿宋" w:hAnsi="仿宋" w:eastAsia="仿宋" w:cs="仿宋"/>
          <w:spacing w:val="4"/>
          <w:szCs w:val="32"/>
        </w:rPr>
        <w:t>《中华人民共和国政府信息公开条例》第三十六条第（四）项：“对政府信息公开申请，行政机关根据下列情况分别作出答复：（四）经检索没有所申请公开信息的，告知申请人该政府信息不存在”之规定，</w:t>
      </w:r>
      <w:r>
        <w:rPr>
          <w:rFonts w:hint="eastAsia" w:ascii="仿宋" w:hAnsi="仿宋" w:eastAsia="仿宋" w:cs="仿宋"/>
          <w:szCs w:val="32"/>
        </w:rPr>
        <w:t>被申请人据此告知申请人其申请的政府信息</w:t>
      </w:r>
      <w:r>
        <w:rPr>
          <w:rFonts w:hint="eastAsia" w:ascii="仿宋" w:hAnsi="仿宋" w:eastAsia="仿宋" w:cs="仿宋"/>
          <w:spacing w:val="4"/>
          <w:szCs w:val="32"/>
        </w:rPr>
        <w:t>在被申请人履行行政管理职能过程中未制作或获取</w:t>
      </w:r>
      <w:r>
        <w:rPr>
          <w:rFonts w:hint="eastAsia" w:ascii="仿宋" w:hAnsi="仿宋" w:eastAsia="仿宋" w:cs="仿宋"/>
          <w:szCs w:val="32"/>
        </w:rPr>
        <w:t>，合法有据。</w:t>
      </w:r>
    </w:p>
    <w:p w14:paraId="4F06404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根据《中华人民共和国政府信息公开条例》第三十三条：“行政机关收到政府信息公开申请，能够当场答复的，应当当场予以答复。</w:t>
      </w:r>
      <w:r>
        <w:fldChar w:fldCharType="begin"/>
      </w:r>
      <w:r>
        <w:instrText xml:space="preserve"> HYPERLINK "https://www.pkulaw.com/chl/javascript:void(0);" </w:instrText>
      </w:r>
      <w:r>
        <w:fldChar w:fldCharType="separate"/>
      </w:r>
      <w:r>
        <w:fldChar w:fldCharType="end"/>
      </w:r>
      <w:r>
        <w:rPr>
          <w:rFonts w:hint="eastAsia" w:ascii="仿宋" w:hAnsi="仿宋" w:eastAsia="仿宋" w:cs="仿宋"/>
          <w:sz w:val="32"/>
          <w:szCs w:val="32"/>
        </w:rPr>
        <w:t>行政机关不能当场答复的，应当自收到申请之日起20个工作日内予以答复……”之规定，被申请人在2021年11月23日收到申请人政府信息公开申请后，于12月1日作出答复，并</w:t>
      </w:r>
      <w:r>
        <w:rPr>
          <w:rFonts w:hint="eastAsia" w:ascii="仿宋" w:hAnsi="仿宋" w:eastAsia="仿宋" w:cs="仿宋"/>
          <w:color w:val="000000"/>
          <w:sz w:val="32"/>
          <w:szCs w:val="32"/>
        </w:rPr>
        <w:t>于</w:t>
      </w:r>
      <w:r>
        <w:rPr>
          <w:rFonts w:hint="eastAsia" w:ascii="仿宋" w:hAnsi="仿宋" w:eastAsia="仿宋" w:cs="仿宋"/>
          <w:spacing w:val="4"/>
          <w:sz w:val="32"/>
          <w:szCs w:val="32"/>
        </w:rPr>
        <w:t>2021年12月6日</w:t>
      </w:r>
      <w:r>
        <w:rPr>
          <w:rFonts w:hint="eastAsia" w:ascii="仿宋" w:hAnsi="仿宋" w:eastAsia="仿宋" w:cs="仿宋"/>
          <w:color w:val="000000"/>
          <w:sz w:val="32"/>
          <w:szCs w:val="32"/>
        </w:rPr>
        <w:t>送达给申请人</w:t>
      </w:r>
      <w:r>
        <w:rPr>
          <w:rFonts w:hint="eastAsia" w:ascii="仿宋" w:hAnsi="仿宋" w:eastAsia="仿宋" w:cs="仿宋"/>
          <w:sz w:val="32"/>
          <w:szCs w:val="32"/>
        </w:rPr>
        <w:t>，程序合法。</w:t>
      </w:r>
    </w:p>
    <w:p w14:paraId="3DDCF707">
      <w:pPr>
        <w:pStyle w:val="2"/>
        <w:spacing w:line="560" w:lineRule="exact"/>
        <w:ind w:firstLine="640" w:firstLineChars="200"/>
        <w:rPr>
          <w:rFonts w:ascii="仿宋" w:hAnsi="仿宋" w:eastAsia="仿宋" w:cs="仿宋"/>
          <w:szCs w:val="32"/>
        </w:rPr>
      </w:pPr>
      <w:r>
        <w:rPr>
          <w:rFonts w:hint="eastAsia" w:ascii="仿宋" w:hAnsi="仿宋" w:eastAsia="仿宋" w:cs="仿宋"/>
          <w:szCs w:val="32"/>
        </w:rPr>
        <w:t>申请人要求</w:t>
      </w:r>
      <w:r>
        <w:rPr>
          <w:rFonts w:hint="eastAsia" w:ascii="仿宋" w:hAnsi="仿宋" w:eastAsia="仿宋" w:cs="仿宋"/>
          <w:spacing w:val="4"/>
          <w:szCs w:val="32"/>
        </w:rPr>
        <w:t>撤销该政府信息公开申请答复书依据不足，本府不予支持。</w:t>
      </w:r>
    </w:p>
    <w:p w14:paraId="60FD9E75">
      <w:pPr>
        <w:pStyle w:val="2"/>
        <w:spacing w:line="560" w:lineRule="exact"/>
        <w:ind w:firstLine="640" w:firstLineChars="200"/>
        <w:rPr>
          <w:rFonts w:ascii="黑体" w:hAnsi="黑体" w:eastAsia="黑体" w:cs="宋体"/>
        </w:rPr>
      </w:pPr>
      <w:r>
        <w:rPr>
          <w:rFonts w:hint="eastAsia" w:ascii="黑体" w:hAnsi="黑体" w:eastAsia="黑体" w:cs="宋体"/>
        </w:rPr>
        <w:t>本府决定：</w:t>
      </w:r>
    </w:p>
    <w:p w14:paraId="7CB4E35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根据《中华人民共和国行政复议法》第二十八条第一款第（一）项之规定，维持被申请人作出的花教函</w:t>
      </w:r>
      <w:r>
        <w:rPr>
          <w:rFonts w:hint="eastAsia" w:ascii="仿宋" w:hAnsi="仿宋" w:eastAsia="仿宋" w:cs="仿宋"/>
          <w:spacing w:val="4"/>
          <w:sz w:val="32"/>
          <w:szCs w:val="32"/>
        </w:rPr>
        <w:t>〔2021〕</w:t>
      </w:r>
      <w:r>
        <w:rPr>
          <w:rFonts w:hint="eastAsia" w:ascii="仿宋" w:hAnsi="仿宋" w:eastAsia="仿宋" w:cs="仿宋"/>
          <w:sz w:val="32"/>
          <w:szCs w:val="32"/>
        </w:rPr>
        <w:t>277号政府信息公开申请答复书。</w:t>
      </w:r>
    </w:p>
    <w:p w14:paraId="42817B1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申请人如不服本决定，可自收到本复议决定书之日起15日内向有管辖权人民法院提起行政诉讼。</w:t>
      </w:r>
    </w:p>
    <w:p w14:paraId="5242F74F">
      <w:pPr>
        <w:pStyle w:val="2"/>
        <w:spacing w:line="560" w:lineRule="exact"/>
        <w:rPr>
          <w:rFonts w:hint="eastAsia" w:ascii="仿宋" w:hAnsi="仿宋" w:eastAsia="仿宋" w:cs="仿宋"/>
        </w:rPr>
      </w:pPr>
    </w:p>
    <w:p w14:paraId="6E1684F0">
      <w:pPr>
        <w:pStyle w:val="2"/>
        <w:spacing w:line="560" w:lineRule="exact"/>
        <w:ind w:firstLine="640" w:firstLineChars="200"/>
        <w:rPr>
          <w:rFonts w:ascii="仿宋" w:hAnsi="仿宋" w:eastAsia="仿宋" w:cs="仿宋"/>
        </w:rPr>
      </w:pPr>
    </w:p>
    <w:p w14:paraId="616D1C36">
      <w:pPr>
        <w:pStyle w:val="2"/>
        <w:spacing w:line="560" w:lineRule="exact"/>
        <w:ind w:firstLine="645"/>
        <w:jc w:val="left"/>
        <w:rPr>
          <w:rFonts w:ascii="仿宋" w:hAnsi="仿宋" w:eastAsia="仿宋" w:cs="仿宋"/>
        </w:rPr>
      </w:pPr>
      <w:r>
        <w:rPr>
          <w:rFonts w:hint="eastAsia" w:ascii="仿宋" w:hAnsi="仿宋" w:eastAsia="仿宋" w:cs="仿宋"/>
        </w:rPr>
        <w:t>本件与原件核对无异</w:t>
      </w:r>
    </w:p>
    <w:p w14:paraId="3F3E3647">
      <w:pPr>
        <w:pStyle w:val="2"/>
        <w:spacing w:line="560" w:lineRule="exact"/>
        <w:ind w:firstLine="645"/>
        <w:jc w:val="left"/>
        <w:rPr>
          <w:rFonts w:hint="eastAsia" w:ascii="仿宋" w:hAnsi="仿宋" w:eastAsia="仿宋" w:cs="仿宋"/>
        </w:rPr>
      </w:pPr>
    </w:p>
    <w:p w14:paraId="31E02F24">
      <w:pPr>
        <w:pStyle w:val="2"/>
        <w:spacing w:line="560" w:lineRule="exact"/>
        <w:ind w:firstLine="640" w:firstLineChars="200"/>
        <w:rPr>
          <w:rFonts w:ascii="仿宋" w:hAnsi="仿宋" w:eastAsia="仿宋" w:cs="仿宋"/>
        </w:rPr>
      </w:pPr>
      <w:r>
        <w:rPr>
          <w:rFonts w:hint="eastAsia" w:ascii="仿宋" w:hAnsi="仿宋" w:eastAsia="仿宋" w:cs="仿宋"/>
        </w:rPr>
        <w:t xml:space="preserve">                      二〇二二年一月十一日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 w:name="小标宋">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A6343">
    <w:pPr>
      <w:pStyle w:val="3"/>
      <w:tabs>
        <w:tab w:val="clear" w:pos="4153"/>
      </w:tabs>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Quad Arrow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5A0551">
                          <w:pPr>
                            <w:pStyle w:val="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页</w:t>
                          </w:r>
                        </w:p>
                      </w:txbxContent>
                    </wps:txbx>
                    <wps:bodyPr wrap="none" lIns="0" tIns="0" rIns="0" bIns="0">
                      <a:spAutoFit/>
                    </wps:bodyPr>
                  </wps:wsp>
                </a:graphicData>
              </a:graphic>
            </wp:anchor>
          </w:drawing>
        </mc:Choice>
        <mc:Fallback>
          <w:pict>
            <v:shape id="Quad Arrow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7O1KbgBAACRAwAADgAAAGRycy9lMm9Eb2MueG1srVNNb9swDL0P2H8Q&#10;dG/sBOgQGHGKFkGLAsU+0O0HKLIcC5BEgVRi59+Psp106y497CJTJPXI90hv7gbvxMkgWQi1XC5K&#10;KUzQ0NhwqOWvn483aykoqdAoB8HU8mxI3m0/f9r0sTIr6MA1BgWDBKr6WMsupVgVBenOeEULiCZw&#10;sAX0KvEVD0WDqmd074pVWX4pesAmImhDxN7dFJQzIn4EENrWarMDffQmpAkVjVOJKVFnI8nt2G3b&#10;Gp2+tS2ZJFwtmWkaTy7C9j6fxXajqgOq2Fk9t6A+0sI7Tl7ZwEWvUDuVlDii/QfKW41A0KaFBl9M&#10;REZFmMWyfKfNa6eiGbmw1BSvotP/g9VfT99R2IY3QYqgPA/8x1E14h4RerEsV7dZoj5SxZmvkXPT&#10;8ABDTp/9xM7MfGjR5y9zEhxngc9Xgc2QhM6P1qv1uuSQ5tjlwjjF2/OIlJ4MeJGNWiJPcBRWnV4o&#10;TamXlFwtwKN1jv2qcuEvB2NmT5F7n3rMVhr2w9z4Hpoz8+l5+LUMvOtSuOfA2uY9uRh4MfazkWtQ&#10;vD8mLjz2k1EnqLkYT2pkNG9VXoU/72PW25+0/Q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y7O1KbgBAACRAwAADgAAAAAAAAABACAAAAAeAQAAZHJzL2Uyb0RvYy54bWxQSwUGAAAAAAYABgBZ&#10;AQAASAUAAAAA&#10;">
              <v:fill on="f" focussize="0,0"/>
              <v:stroke on="f"/>
              <v:imagedata o:title=""/>
              <o:lock v:ext="edit" aspectratio="f"/>
              <v:textbox inset="0mm,0mm,0mm,0mm" style="mso-fit-shape-to-text:t;">
                <w:txbxContent>
                  <w:p w14:paraId="255A0551">
                    <w:pPr>
                      <w:pStyle w:val="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8</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2EDA29"/>
    <w:multiLevelType w:val="singleLevel"/>
    <w:tmpl w:val="362EDA2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73B"/>
    <w:rsid w:val="00A077F3"/>
    <w:rsid w:val="00A5581C"/>
    <w:rsid w:val="00D17F81"/>
    <w:rsid w:val="00FE473B"/>
    <w:rsid w:val="019B6717"/>
    <w:rsid w:val="040A3858"/>
    <w:rsid w:val="05536FBC"/>
    <w:rsid w:val="05FB72B8"/>
    <w:rsid w:val="0D197411"/>
    <w:rsid w:val="1069141A"/>
    <w:rsid w:val="116449E0"/>
    <w:rsid w:val="11C869A7"/>
    <w:rsid w:val="11D75665"/>
    <w:rsid w:val="11FE08D5"/>
    <w:rsid w:val="12754606"/>
    <w:rsid w:val="15510A57"/>
    <w:rsid w:val="19E665E9"/>
    <w:rsid w:val="1D783BDD"/>
    <w:rsid w:val="2A2B3884"/>
    <w:rsid w:val="2A735315"/>
    <w:rsid w:val="2DC50E91"/>
    <w:rsid w:val="2E485C0B"/>
    <w:rsid w:val="2F0837BD"/>
    <w:rsid w:val="30F65C82"/>
    <w:rsid w:val="35AA12A8"/>
    <w:rsid w:val="3C737D59"/>
    <w:rsid w:val="41CB7E14"/>
    <w:rsid w:val="47E10F69"/>
    <w:rsid w:val="4DBE0F34"/>
    <w:rsid w:val="50740EF5"/>
    <w:rsid w:val="547B7B88"/>
    <w:rsid w:val="54A90A2D"/>
    <w:rsid w:val="560F3D3F"/>
    <w:rsid w:val="58206221"/>
    <w:rsid w:val="5C2F44B1"/>
    <w:rsid w:val="5E7A0C5A"/>
    <w:rsid w:val="5EF126A4"/>
    <w:rsid w:val="64BD1601"/>
    <w:rsid w:val="66120EC1"/>
    <w:rsid w:val="6A8C665B"/>
    <w:rsid w:val="6AD529D9"/>
    <w:rsid w:val="6BA60662"/>
    <w:rsid w:val="6BCE44DA"/>
    <w:rsid w:val="6D694159"/>
    <w:rsid w:val="6ED03668"/>
    <w:rsid w:val="6FCC555C"/>
    <w:rsid w:val="7025529C"/>
    <w:rsid w:val="727D148C"/>
    <w:rsid w:val="73CC11DE"/>
    <w:rsid w:val="758E1A2C"/>
    <w:rsid w:val="75985B83"/>
    <w:rsid w:val="78992EEF"/>
    <w:rsid w:val="7A56519D"/>
    <w:rsid w:val="7D182398"/>
    <w:rsid w:val="7F9E1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仿宋_GB2312" w:hAnsi="Courier New" w:eastAsia="仿宋_GB2312" w:cs="Courier New"/>
      <w:sz w:val="32"/>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Emphasis"/>
    <w:basedOn w:val="6"/>
    <w:qFormat/>
    <w:uiPriority w:val="0"/>
    <w:rPr>
      <w:i/>
    </w:rPr>
  </w:style>
  <w:style w:type="paragraph" w:customStyle="1" w:styleId="8">
    <w:name w:val="p0"/>
    <w:basedOn w:val="1"/>
    <w:qFormat/>
    <w:uiPriority w:val="0"/>
    <w:pPr>
      <w:widowControl/>
    </w:pPr>
    <w:rPr>
      <w:kern w:val="0"/>
      <w:szCs w:val="21"/>
    </w:rPr>
  </w:style>
  <w:style w:type="paragraph" w:customStyle="1" w:styleId="9">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区司法局</Company>
  <Pages>5</Pages>
  <Words>2262</Words>
  <Characters>2413</Characters>
  <Lines>18</Lines>
  <Paragraphs>5</Paragraphs>
  <TotalTime>17</TotalTime>
  <ScaleCrop>false</ScaleCrop>
  <LinksUpToDate>false</LinksUpToDate>
  <CharactersWithSpaces>2440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2021-07-01T06:53:00Z</dcterms:created>
  <dc:creator>Lenovo</dc:creator>
  <cp:lastModifiedBy>sx</cp:lastModifiedBy>
  <cp:lastPrinted>2022-05-13T13:22:00Z</cp:lastPrinted>
  <dcterms:modified xsi:type="dcterms:W3CDTF">2025-10-21T07:02:22Z</dcterms:modified>
  <dc:title>广州市花都区人民政府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A8E8FCA15C2846CB93470A2927595022</vt:lpwstr>
  </property>
  <property fmtid="{D5CDD505-2E9C-101B-9397-08002B2CF9AE}" pid="4" name="KSOTemplateDocerSaveRecord">
    <vt:lpwstr>eyJoZGlkIjoiZTAwNTY0NDdmMWYxYzMwYzdjMmZhYmYwZWQxYmNlNjgiLCJ1c2VySWQiOiIxNjQ1OTI5NDg5In0=</vt:lpwstr>
  </property>
</Properties>
</file>